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50" w:type="dxa"/>
        <w:tblInd w:w="108" w:type="dxa"/>
        <w:tblLook w:val="04A0" w:firstRow="1" w:lastRow="0" w:firstColumn="1" w:lastColumn="0" w:noHBand="0" w:noVBand="1"/>
      </w:tblPr>
      <w:tblGrid>
        <w:gridCol w:w="8204"/>
        <w:gridCol w:w="6646"/>
      </w:tblGrid>
      <w:tr w:rsidR="005E1112" w:rsidRPr="009F2BD1" w:rsidTr="005E1112">
        <w:trPr>
          <w:trHeight w:val="1545"/>
        </w:trPr>
        <w:tc>
          <w:tcPr>
            <w:tcW w:w="8204" w:type="dxa"/>
          </w:tcPr>
          <w:p w:rsidR="005E1112" w:rsidRPr="00F470EF" w:rsidRDefault="005E1112" w:rsidP="00457E64">
            <w:pPr>
              <w:jc w:val="left"/>
              <w:rPr>
                <w:rFonts w:ascii="Arial" w:hAnsi="Arial" w:cs="Arial"/>
                <w:sz w:val="24"/>
                <w:szCs w:val="24"/>
              </w:rPr>
            </w:pPr>
            <w:r>
              <w:rPr>
                <w:rFonts w:ascii="Arial" w:hAnsi="Arial" w:cs="Arial"/>
                <w:noProof/>
                <w:sz w:val="24"/>
                <w:szCs w:val="24"/>
              </w:rPr>
              <w:drawing>
                <wp:inline distT="0" distB="0" distL="0" distR="0" wp14:anchorId="4C744451" wp14:editId="236DC712">
                  <wp:extent cx="3105150" cy="1149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1149398"/>
                          </a:xfrm>
                          <a:prstGeom prst="rect">
                            <a:avLst/>
                          </a:prstGeom>
                          <a:noFill/>
                        </pic:spPr>
                      </pic:pic>
                    </a:graphicData>
                  </a:graphic>
                </wp:inline>
              </w:drawing>
            </w:r>
            <w:r w:rsidRPr="00267E4D">
              <w:rPr>
                <w:noProof/>
              </w:rPr>
              <w:drawing>
                <wp:inline distT="0" distB="0" distL="0" distR="0" wp14:anchorId="457AC9BE" wp14:editId="129A4D73">
                  <wp:extent cx="2085975" cy="60205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8551" cy="602793"/>
                          </a:xfrm>
                          <a:prstGeom prst="rect">
                            <a:avLst/>
                          </a:prstGeom>
                          <a:noFill/>
                        </pic:spPr>
                      </pic:pic>
                    </a:graphicData>
                  </a:graphic>
                </wp:inline>
              </w:drawing>
            </w:r>
          </w:p>
        </w:tc>
        <w:tc>
          <w:tcPr>
            <w:tcW w:w="6646" w:type="dxa"/>
          </w:tcPr>
          <w:p w:rsidR="005E1112" w:rsidRPr="009F2BD1" w:rsidRDefault="005E1112" w:rsidP="009F2BD1">
            <w:pPr>
              <w:rPr>
                <w:b/>
                <w:color w:val="1F497D" w:themeColor="text2"/>
                <w:sz w:val="28"/>
                <w:szCs w:val="28"/>
              </w:rPr>
            </w:pPr>
            <w:r w:rsidRPr="009F2BD1">
              <w:rPr>
                <w:b/>
                <w:color w:val="1F497D" w:themeColor="text2"/>
                <w:sz w:val="28"/>
                <w:szCs w:val="28"/>
              </w:rPr>
              <w:t>SIM Data Infrastructure Subcommittee</w:t>
            </w:r>
          </w:p>
          <w:p w:rsidR="005E1112" w:rsidRPr="009F2BD1" w:rsidRDefault="005E1112" w:rsidP="009F2BD1">
            <w:pPr>
              <w:rPr>
                <w:b/>
                <w:color w:val="1F497D" w:themeColor="text2"/>
                <w:sz w:val="10"/>
              </w:rPr>
            </w:pPr>
          </w:p>
          <w:p w:rsidR="005E1112" w:rsidRPr="009F2BD1" w:rsidRDefault="005E1112" w:rsidP="009F2BD1">
            <w:pPr>
              <w:rPr>
                <w:b/>
                <w:color w:val="1F497D" w:themeColor="text2"/>
              </w:rPr>
            </w:pPr>
            <w:r w:rsidRPr="009F2BD1">
              <w:rPr>
                <w:b/>
                <w:color w:val="1F497D" w:themeColor="text2"/>
              </w:rPr>
              <w:t>Date</w:t>
            </w:r>
            <w:r>
              <w:rPr>
                <w:b/>
                <w:color w:val="1F497D" w:themeColor="text2"/>
              </w:rPr>
              <w:t>: September 3, 2014</w:t>
            </w:r>
          </w:p>
          <w:p w:rsidR="005E1112" w:rsidRPr="009F2BD1" w:rsidRDefault="005E1112" w:rsidP="009F2BD1">
            <w:pPr>
              <w:rPr>
                <w:b/>
                <w:color w:val="1F497D" w:themeColor="text2"/>
              </w:rPr>
            </w:pPr>
            <w:r w:rsidRPr="009F2BD1">
              <w:rPr>
                <w:b/>
                <w:color w:val="1F497D" w:themeColor="text2"/>
              </w:rPr>
              <w:t xml:space="preserve">Time: </w:t>
            </w:r>
            <w:r>
              <w:rPr>
                <w:b/>
                <w:color w:val="1F497D" w:themeColor="text2"/>
              </w:rPr>
              <w:t>2:00-4</w:t>
            </w:r>
            <w:r w:rsidRPr="009F2BD1">
              <w:rPr>
                <w:b/>
                <w:color w:val="1F497D" w:themeColor="text2"/>
              </w:rPr>
              <w:t>:00pm</w:t>
            </w:r>
          </w:p>
          <w:p w:rsidR="005E1112" w:rsidRPr="009F2BD1" w:rsidRDefault="005E1112" w:rsidP="00E20D8E">
            <w:pPr>
              <w:rPr>
                <w:b/>
                <w:color w:val="548DD4" w:themeColor="text2" w:themeTint="99"/>
              </w:rPr>
            </w:pPr>
            <w:r w:rsidRPr="009F2BD1">
              <w:rPr>
                <w:b/>
                <w:color w:val="1F497D" w:themeColor="text2"/>
              </w:rPr>
              <w:t>Location</w:t>
            </w:r>
            <w:r>
              <w:rPr>
                <w:b/>
                <w:color w:val="1F497D" w:themeColor="text2"/>
              </w:rPr>
              <w:t>: Webinar</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1" w:history="1">
        <w:r w:rsidRPr="003B3A33">
          <w:rPr>
            <w:rStyle w:val="Hyperlink"/>
            <w:rFonts w:cstheme="minorHAnsi"/>
          </w:rPr>
          <w:t>ksendze@hinfonet.org</w:t>
        </w:r>
      </w:hyperlink>
      <w:r w:rsidR="00EC2CBE">
        <w:rPr>
          <w:rFonts w:cstheme="minorHAnsi"/>
          <w:b/>
        </w:rPr>
        <w:t xml:space="preserve">, HIN Staff: </w:t>
      </w:r>
      <w:r w:rsidR="00720750">
        <w:rPr>
          <w:rStyle w:val="Hyperlink"/>
          <w:rFonts w:cstheme="minorHAnsi"/>
          <w:color w:val="auto"/>
          <w:u w:val="none"/>
        </w:rPr>
        <w:t>Shaun Alfreds, Gemma Cannon; Katelyn Michaud</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E20D8E">
        <w:rPr>
          <w:rFonts w:cstheme="minorHAnsi"/>
        </w:rPr>
        <w:t>Nancy Birkhimer</w:t>
      </w:r>
      <w:r w:rsidR="00720750">
        <w:rPr>
          <w:rFonts w:cstheme="minorHAnsi"/>
        </w:rPr>
        <w:t xml:space="preserve">, </w:t>
      </w:r>
      <w:r w:rsidR="00720750" w:rsidRPr="000557DD">
        <w:rPr>
          <w:rFonts w:cstheme="minorHAnsi"/>
        </w:rPr>
        <w:t>Bruce Donlin,</w:t>
      </w:r>
      <w:r w:rsidR="00720750">
        <w:rPr>
          <w:rFonts w:cstheme="minorHAnsi"/>
        </w:rPr>
        <w:t xml:space="preserve"> </w:t>
      </w:r>
      <w:r w:rsidR="00720750" w:rsidRPr="000557DD">
        <w:rPr>
          <w:rFonts w:cstheme="minorHAnsi"/>
        </w:rPr>
        <w:t>Margaret Longsworth</w:t>
      </w:r>
      <w:r w:rsidR="00E91394">
        <w:rPr>
          <w:rFonts w:cstheme="minorHAnsi"/>
        </w:rPr>
        <w:t xml:space="preserve">, Chuck Pritchard, Kathleen Pelletreau, Carrie Arsenault, Rebecca Gagnon, Raymond Taylor, </w:t>
      </w:r>
    </w:p>
    <w:p w:rsidR="00D243A2" w:rsidRDefault="00D243A2" w:rsidP="00B50A92">
      <w:pPr>
        <w:jc w:val="left"/>
        <w:rPr>
          <w:rFonts w:cstheme="minorHAnsi"/>
        </w:rPr>
      </w:pPr>
    </w:p>
    <w:p w:rsidR="0033286A" w:rsidRPr="00E91394" w:rsidRDefault="00E91394" w:rsidP="00B50A92">
      <w:pPr>
        <w:jc w:val="left"/>
        <w:rPr>
          <w:rFonts w:cstheme="minorHAnsi"/>
        </w:rPr>
      </w:pPr>
      <w:r>
        <w:rPr>
          <w:rFonts w:cstheme="minorHAnsi"/>
          <w:b/>
          <w:u w:val="single"/>
        </w:rPr>
        <w:t>Interested Parties/Guests:</w:t>
      </w:r>
      <w:r>
        <w:rPr>
          <w:rFonts w:cstheme="minorHAnsi"/>
          <w:b/>
        </w:rPr>
        <w:t xml:space="preserve"> </w:t>
      </w:r>
      <w:r w:rsidR="0086630B">
        <w:rPr>
          <w:rFonts w:cstheme="minorHAnsi"/>
        </w:rPr>
        <w:t>Lisa Tuttle &amp;</w:t>
      </w:r>
      <w:r w:rsidRPr="00E91394">
        <w:rPr>
          <w:rFonts w:cstheme="minorHAnsi"/>
        </w:rPr>
        <w:t xml:space="preserve"> Lise Tancrede (Delivery System Reform Subcommittee/Maine Quality Counts), Amy Wager (evaluation), David </w:t>
      </w:r>
      <w:proofErr w:type="spellStart"/>
      <w:r w:rsidRPr="00E91394">
        <w:rPr>
          <w:rFonts w:cstheme="minorHAnsi"/>
        </w:rPr>
        <w:t>Hanig</w:t>
      </w:r>
      <w:proofErr w:type="spellEnd"/>
      <w:r w:rsidRPr="00E91394">
        <w:rPr>
          <w:rFonts w:cstheme="minorHAnsi"/>
        </w:rPr>
        <w:t xml:space="preserve"> (evaluation)</w:t>
      </w:r>
      <w:r>
        <w:rPr>
          <w:rFonts w:cstheme="minorHAnsi"/>
        </w:rPr>
        <w:t xml:space="preserve">, </w:t>
      </w:r>
      <w:proofErr w:type="spellStart"/>
      <w:r>
        <w:rPr>
          <w:rFonts w:cstheme="minorHAnsi"/>
        </w:rPr>
        <w:t>Lyndsey</w:t>
      </w:r>
      <w:proofErr w:type="spellEnd"/>
      <w:r w:rsidR="008F29CC">
        <w:rPr>
          <w:rFonts w:cstheme="minorHAnsi"/>
        </w:rPr>
        <w:t xml:space="preserve"> Sanborn (MHMC)</w:t>
      </w:r>
      <w:r>
        <w:rPr>
          <w:rFonts w:cstheme="minorHAnsi"/>
        </w:rPr>
        <w:t>, Kristen Cowing</w:t>
      </w:r>
      <w:r w:rsidR="008F29CC">
        <w:rPr>
          <w:rFonts w:cstheme="minorHAnsi"/>
        </w:rPr>
        <w:t xml:space="preserve"> (MaineCare)</w:t>
      </w:r>
      <w:r>
        <w:rPr>
          <w:rFonts w:cstheme="minorHAnsi"/>
        </w:rPr>
        <w:t xml:space="preserve"> </w:t>
      </w:r>
    </w:p>
    <w:p w:rsidR="00720750" w:rsidRDefault="00720750" w:rsidP="00B50A92">
      <w:pPr>
        <w:jc w:val="left"/>
        <w:rPr>
          <w:rFonts w:cstheme="minorHAnsi"/>
        </w:rPr>
      </w:pPr>
    </w:p>
    <w:p w:rsidR="00576891" w:rsidRPr="00F6206F" w:rsidRDefault="00E82E95" w:rsidP="00B57A9B">
      <w:pPr>
        <w:jc w:val="left"/>
        <w:rPr>
          <w:rFonts w:cstheme="minorHAnsi"/>
        </w:rPr>
        <w:sectPr w:rsidR="00576891" w:rsidRPr="00F6206F" w:rsidSect="00BC2BC9">
          <w:headerReference w:type="default" r:id="rId12"/>
          <w:footerReference w:type="default" r:id="rId13"/>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E91394" w:rsidRPr="000557DD">
        <w:rPr>
          <w:rFonts w:cstheme="minorHAnsi"/>
        </w:rPr>
        <w:t>Patsy Leavitt</w:t>
      </w:r>
      <w:r w:rsidR="00E91394">
        <w:rPr>
          <w:rFonts w:cstheme="minorHAnsi"/>
        </w:rPr>
        <w:t xml:space="preserve">, Michael DeLorenzo, Barbara Crowley, Ralph Johnson, Dawn Gallagher, Luke Lazure, Karynlee Harrington, Wayne </w:t>
      </w:r>
      <w:proofErr w:type="spellStart"/>
      <w:r w:rsidR="00E91394">
        <w:rPr>
          <w:rFonts w:cstheme="minorHAnsi"/>
        </w:rPr>
        <w:t>Gregerson</w:t>
      </w:r>
      <w:proofErr w:type="spellEnd"/>
      <w:r w:rsidR="00E91394">
        <w:rPr>
          <w:rFonts w:cstheme="minorHAnsi"/>
        </w:rPr>
        <w:t>, Joseph Riddick</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4"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1A7200" w:rsidRDefault="00720750" w:rsidP="006A0577">
            <w:pPr>
              <w:jc w:val="left"/>
              <w:rPr>
                <w:rFonts w:cstheme="minorHAnsi"/>
                <w:b/>
              </w:rPr>
            </w:pPr>
            <w:r>
              <w:rPr>
                <w:rFonts w:cstheme="minorHAnsi"/>
                <w:b/>
              </w:rPr>
              <w:t>N/A</w:t>
            </w:r>
          </w:p>
        </w:tc>
        <w:tc>
          <w:tcPr>
            <w:tcW w:w="8550" w:type="dxa"/>
          </w:tcPr>
          <w:p w:rsidR="00E6028A" w:rsidRPr="007E4544" w:rsidRDefault="00720750" w:rsidP="007E4544">
            <w:pPr>
              <w:jc w:val="left"/>
              <w:rPr>
                <w:rFonts w:cstheme="minorHAnsi"/>
              </w:rPr>
            </w:pPr>
            <w:r>
              <w:rPr>
                <w:rFonts w:cstheme="minorHAnsi"/>
              </w:rPr>
              <w:t>None</w:t>
            </w:r>
          </w:p>
        </w:tc>
        <w:tc>
          <w:tcPr>
            <w:tcW w:w="2742" w:type="dxa"/>
          </w:tcPr>
          <w:p w:rsidR="001A7200" w:rsidRPr="00990D1F" w:rsidRDefault="00720750" w:rsidP="006A057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720750" w:rsidP="00CF6EF2">
            <w:pPr>
              <w:jc w:val="left"/>
              <w:rPr>
                <w:rFonts w:cstheme="minorHAnsi"/>
                <w:b/>
              </w:rPr>
            </w:pPr>
            <w:r>
              <w:rPr>
                <w:rFonts w:cstheme="minorHAnsi"/>
                <w:b/>
              </w:rPr>
              <w:t>Agenda and Introductions</w:t>
            </w:r>
          </w:p>
        </w:tc>
        <w:tc>
          <w:tcPr>
            <w:tcW w:w="11292" w:type="dxa"/>
            <w:gridSpan w:val="2"/>
          </w:tcPr>
          <w:p w:rsidR="00E37661" w:rsidRDefault="00720750" w:rsidP="00720750">
            <w:pPr>
              <w:pStyle w:val="ListParagraph"/>
              <w:numPr>
                <w:ilvl w:val="0"/>
                <w:numId w:val="33"/>
              </w:numPr>
              <w:ind w:left="702"/>
              <w:jc w:val="left"/>
              <w:rPr>
                <w:rFonts w:cstheme="minorHAnsi"/>
              </w:rPr>
            </w:pPr>
            <w:r>
              <w:rPr>
                <w:rFonts w:cstheme="minorHAnsi"/>
              </w:rPr>
              <w:t>Reviewed agenda briefly</w:t>
            </w:r>
          </w:p>
          <w:p w:rsidR="00720750" w:rsidRPr="00B76C72" w:rsidRDefault="00720750" w:rsidP="00720750">
            <w:pPr>
              <w:pStyle w:val="ListParagraph"/>
              <w:numPr>
                <w:ilvl w:val="0"/>
                <w:numId w:val="33"/>
              </w:numPr>
              <w:ind w:left="702"/>
              <w:jc w:val="left"/>
              <w:rPr>
                <w:rFonts w:cstheme="minorHAnsi"/>
              </w:rPr>
            </w:pPr>
            <w:r>
              <w:rPr>
                <w:rFonts w:cstheme="minorHAnsi"/>
              </w:rPr>
              <w:t>Introduction of members for attendance</w:t>
            </w:r>
          </w:p>
        </w:tc>
      </w:tr>
      <w:tr w:rsidR="004D53AB" w:rsidRPr="00990D1F" w:rsidTr="00855B81">
        <w:trPr>
          <w:trHeight w:val="620"/>
        </w:trPr>
        <w:tc>
          <w:tcPr>
            <w:tcW w:w="2970" w:type="dxa"/>
          </w:tcPr>
          <w:p w:rsidR="004D53AB" w:rsidRDefault="00720750" w:rsidP="00DA3157">
            <w:pPr>
              <w:jc w:val="left"/>
              <w:rPr>
                <w:rFonts w:cstheme="minorHAnsi"/>
                <w:b/>
              </w:rPr>
            </w:pPr>
            <w:r>
              <w:rPr>
                <w:rFonts w:cstheme="minorHAnsi"/>
                <w:b/>
              </w:rPr>
              <w:t>Review and Adoption of Minutes</w:t>
            </w:r>
          </w:p>
        </w:tc>
        <w:tc>
          <w:tcPr>
            <w:tcW w:w="11292" w:type="dxa"/>
            <w:gridSpan w:val="2"/>
          </w:tcPr>
          <w:p w:rsidR="00720750" w:rsidRPr="003E6849" w:rsidRDefault="00E20D8E" w:rsidP="00720750">
            <w:pPr>
              <w:pStyle w:val="ListParagraph"/>
              <w:numPr>
                <w:ilvl w:val="0"/>
                <w:numId w:val="34"/>
              </w:numPr>
              <w:ind w:left="702"/>
              <w:jc w:val="left"/>
              <w:rPr>
                <w:rFonts w:cstheme="minorHAnsi"/>
              </w:rPr>
            </w:pPr>
            <w:r>
              <w:rPr>
                <w:rFonts w:cstheme="minorHAnsi"/>
              </w:rPr>
              <w:t xml:space="preserve">June Meeting </w:t>
            </w:r>
            <w:r w:rsidR="00720750">
              <w:rPr>
                <w:rFonts w:cstheme="minorHAnsi"/>
              </w:rPr>
              <w:t>Minutes were approved and</w:t>
            </w:r>
            <w:r>
              <w:rPr>
                <w:rFonts w:cstheme="minorHAnsi"/>
              </w:rPr>
              <w:t xml:space="preserve"> adopted</w:t>
            </w:r>
          </w:p>
        </w:tc>
      </w:tr>
      <w:tr w:rsidR="00A44F0C" w:rsidRPr="00990D1F" w:rsidTr="004D53AB">
        <w:tc>
          <w:tcPr>
            <w:tcW w:w="2970" w:type="dxa"/>
          </w:tcPr>
          <w:p w:rsidR="00A44F0C" w:rsidRPr="005F4D9C" w:rsidRDefault="00720750" w:rsidP="00D814BE">
            <w:pPr>
              <w:pStyle w:val="Formal1"/>
              <w:rPr>
                <w:rFonts w:asciiTheme="minorHAnsi" w:hAnsiTheme="minorHAnsi" w:cstheme="minorHAnsi"/>
                <w:b/>
                <w:bCs/>
                <w:sz w:val="22"/>
                <w:szCs w:val="22"/>
              </w:rPr>
            </w:pPr>
            <w:r>
              <w:rPr>
                <w:rFonts w:asciiTheme="minorHAnsi" w:hAnsiTheme="minorHAnsi" w:cstheme="minorHAnsi"/>
                <w:b/>
                <w:bCs/>
                <w:sz w:val="22"/>
                <w:szCs w:val="22"/>
              </w:rPr>
              <w:t>Project Updates</w:t>
            </w:r>
          </w:p>
        </w:tc>
        <w:tc>
          <w:tcPr>
            <w:tcW w:w="11292" w:type="dxa"/>
            <w:gridSpan w:val="2"/>
          </w:tcPr>
          <w:p w:rsidR="00E20D8E" w:rsidRPr="00855B81" w:rsidRDefault="00E20D8E" w:rsidP="00E20D8E">
            <w:pPr>
              <w:pStyle w:val="ListParagraph"/>
              <w:numPr>
                <w:ilvl w:val="0"/>
                <w:numId w:val="35"/>
              </w:numPr>
              <w:jc w:val="left"/>
              <w:rPr>
                <w:rFonts w:cstheme="minorHAnsi"/>
                <w:b/>
              </w:rPr>
            </w:pPr>
            <w:r w:rsidRPr="00855B81">
              <w:rPr>
                <w:rFonts w:cstheme="minorHAnsi"/>
                <w:b/>
              </w:rPr>
              <w:t>HIN Behavioral Health Information Technology Reimbursement Initiative</w:t>
            </w:r>
          </w:p>
          <w:p w:rsidR="00E20D8E" w:rsidRDefault="00E20D8E" w:rsidP="00E20D8E">
            <w:pPr>
              <w:pStyle w:val="ListParagraph"/>
              <w:numPr>
                <w:ilvl w:val="1"/>
                <w:numId w:val="35"/>
              </w:numPr>
              <w:jc w:val="left"/>
              <w:rPr>
                <w:rFonts w:cstheme="minorHAnsi"/>
              </w:rPr>
            </w:pPr>
            <w:r>
              <w:rPr>
                <w:rFonts w:cstheme="minorHAnsi"/>
              </w:rPr>
              <w:t xml:space="preserve">Katie gave an update of the status of the project and where the BH organizations are in meeting the milestone process. BH orgs are currently working on their consent education plans and working with HIN’s Technical Team and the EHR vendor to build the technical infrastructure to meet milestone one deadlines. Most orgs will not meet the technical/data integration capabilities deadline on 9/30/14 due to lack of vendor capabilities and slow adoption of new technology. HIN predicts most </w:t>
            </w:r>
            <w:r w:rsidR="00855B81">
              <w:rPr>
                <w:rFonts w:cstheme="minorHAnsi"/>
              </w:rPr>
              <w:t xml:space="preserve">will </w:t>
            </w:r>
            <w:r>
              <w:rPr>
                <w:rFonts w:cstheme="minorHAnsi"/>
              </w:rPr>
              <w:t xml:space="preserve">meet me deadline around </w:t>
            </w:r>
            <w:r>
              <w:rPr>
                <w:rFonts w:cstheme="minorHAnsi"/>
              </w:rPr>
              <w:lastRenderedPageBreak/>
              <w:t xml:space="preserve">November. All orgs should meet the 9/30 educational plan deadline. </w:t>
            </w:r>
          </w:p>
          <w:p w:rsidR="00E20D8E" w:rsidRDefault="00E20D8E" w:rsidP="00E20D8E">
            <w:pPr>
              <w:pStyle w:val="ListParagraph"/>
              <w:numPr>
                <w:ilvl w:val="1"/>
                <w:numId w:val="35"/>
              </w:numPr>
              <w:jc w:val="left"/>
              <w:rPr>
                <w:rFonts w:cstheme="minorHAnsi"/>
              </w:rPr>
            </w:pPr>
            <w:r>
              <w:rPr>
                <w:rFonts w:cstheme="minorHAnsi"/>
              </w:rPr>
              <w:t xml:space="preserve">Ann Sullivan asked about the consent process of Mental Health and HIV in HIN’s Clinical Portal as it is very confusing. Shaun Alfreds reviewed the State of Maine laws regarding the sharing of MH/HIV information and what the current “opt-in” consent process is. </w:t>
            </w:r>
          </w:p>
          <w:p w:rsidR="00E20D8E" w:rsidRDefault="00E20D8E" w:rsidP="00E20D8E">
            <w:pPr>
              <w:pStyle w:val="ListParagraph"/>
              <w:numPr>
                <w:ilvl w:val="1"/>
                <w:numId w:val="35"/>
              </w:numPr>
              <w:jc w:val="left"/>
              <w:rPr>
                <w:rFonts w:cstheme="minorHAnsi"/>
              </w:rPr>
            </w:pPr>
            <w:r>
              <w:rPr>
                <w:rFonts w:cstheme="minorHAnsi"/>
              </w:rPr>
              <w:t>Milestone 3 of the initiative revolves around quality measurement. HIN is planning to utilize the BH PTE workgroup managed by the Maine Health Management Coalition as a platform to discuss this topic further.</w:t>
            </w:r>
          </w:p>
          <w:p w:rsidR="00F47B65" w:rsidRPr="00855B81" w:rsidRDefault="00F47B65" w:rsidP="00E20D8E">
            <w:pPr>
              <w:pStyle w:val="ListParagraph"/>
              <w:numPr>
                <w:ilvl w:val="0"/>
                <w:numId w:val="35"/>
              </w:numPr>
              <w:jc w:val="left"/>
              <w:rPr>
                <w:rFonts w:cstheme="minorHAnsi"/>
                <w:b/>
              </w:rPr>
            </w:pPr>
            <w:r w:rsidRPr="00855B81">
              <w:rPr>
                <w:rFonts w:cstheme="minorHAnsi"/>
                <w:b/>
              </w:rPr>
              <w:t>Blue Button – Patient Portal Project with Eastern Maine Health System</w:t>
            </w:r>
          </w:p>
          <w:p w:rsidR="00F47B65" w:rsidRDefault="00F47B65" w:rsidP="00F47B65">
            <w:pPr>
              <w:pStyle w:val="ListParagraph"/>
              <w:numPr>
                <w:ilvl w:val="1"/>
                <w:numId w:val="35"/>
              </w:numPr>
              <w:jc w:val="left"/>
              <w:rPr>
                <w:rFonts w:cstheme="minorHAnsi"/>
              </w:rPr>
            </w:pPr>
            <w:r>
              <w:rPr>
                <w:rFonts w:cstheme="minorHAnsi"/>
              </w:rPr>
              <w:t>Katie gave an update of the project. The project is moving forward in the pre-pilot phase. HIN has met with two of the three practice pilot sites</w:t>
            </w:r>
            <w:r w:rsidR="00855B81">
              <w:rPr>
                <w:rFonts w:cstheme="minorHAnsi"/>
              </w:rPr>
              <w:t xml:space="preserve"> (Husson Internal Medicine and EMMC Family Medicine of Brewer)</w:t>
            </w:r>
            <w:r>
              <w:rPr>
                <w:rFonts w:cstheme="minorHAnsi"/>
              </w:rPr>
              <w:t xml:space="preserve"> to introduce the project. The technology </w:t>
            </w:r>
            <w:r w:rsidR="00855B81">
              <w:rPr>
                <w:rFonts w:cstheme="minorHAnsi"/>
              </w:rPr>
              <w:t>has been built</w:t>
            </w:r>
            <w:r>
              <w:rPr>
                <w:rFonts w:cstheme="minorHAnsi"/>
              </w:rPr>
              <w:t xml:space="preserve"> and </w:t>
            </w:r>
            <w:r w:rsidR="00855B81">
              <w:rPr>
                <w:rFonts w:cstheme="minorHAnsi"/>
              </w:rPr>
              <w:t>is in testing</w:t>
            </w:r>
            <w:r>
              <w:rPr>
                <w:rFonts w:cstheme="minorHAnsi"/>
              </w:rPr>
              <w:t xml:space="preserve">. </w:t>
            </w:r>
            <w:r w:rsidR="00855B81">
              <w:rPr>
                <w:rFonts w:cstheme="minorHAnsi"/>
              </w:rPr>
              <w:t xml:space="preserve">HIN plans to pilot with </w:t>
            </w:r>
            <w:r>
              <w:rPr>
                <w:rFonts w:cstheme="minorHAnsi"/>
              </w:rPr>
              <w:t xml:space="preserve">three practice sites </w:t>
            </w:r>
            <w:r w:rsidR="00855B81">
              <w:rPr>
                <w:rFonts w:cstheme="minorHAnsi"/>
              </w:rPr>
              <w:t>this fall</w:t>
            </w:r>
            <w:r>
              <w:rPr>
                <w:rFonts w:cstheme="minorHAnsi"/>
              </w:rPr>
              <w:t xml:space="preserve">. </w:t>
            </w:r>
          </w:p>
          <w:p w:rsidR="00F47B65" w:rsidRPr="00365F07" w:rsidRDefault="00F47B65" w:rsidP="00F47B65">
            <w:pPr>
              <w:pStyle w:val="ListParagraph"/>
              <w:numPr>
                <w:ilvl w:val="0"/>
                <w:numId w:val="35"/>
              </w:numPr>
              <w:jc w:val="left"/>
              <w:rPr>
                <w:rFonts w:cstheme="minorHAnsi"/>
                <w:b/>
              </w:rPr>
            </w:pPr>
            <w:r w:rsidRPr="00365F07">
              <w:rPr>
                <w:rFonts w:cstheme="minorHAnsi"/>
                <w:b/>
              </w:rPr>
              <w:t>MaineCare PHI Notifications Project</w:t>
            </w:r>
          </w:p>
          <w:p w:rsidR="00F47B65" w:rsidRDefault="00F47B65" w:rsidP="00F47B65">
            <w:pPr>
              <w:pStyle w:val="ListParagraph"/>
              <w:numPr>
                <w:ilvl w:val="1"/>
                <w:numId w:val="35"/>
              </w:numPr>
              <w:jc w:val="left"/>
              <w:rPr>
                <w:rFonts w:cstheme="minorHAnsi"/>
              </w:rPr>
            </w:pPr>
            <w:r>
              <w:rPr>
                <w:rFonts w:cstheme="minorHAnsi"/>
              </w:rPr>
              <w:t xml:space="preserve">HIN has completed the testing of technology phase with MaineCare’s Care Management Team led by Tracy Emerson. </w:t>
            </w:r>
            <w:r w:rsidR="00365F07">
              <w:rPr>
                <w:rFonts w:cstheme="minorHAnsi"/>
              </w:rPr>
              <w:t xml:space="preserve">HIN is functional with delivering secure PHI emails to MaineCare using event ADT messages, Discharge documents, and daily summaries of ED/Inpatient events. </w:t>
            </w:r>
            <w:r>
              <w:rPr>
                <w:rFonts w:cstheme="minorHAnsi"/>
              </w:rPr>
              <w:t>HIN has received positive feedback from Tracy’s te</w:t>
            </w:r>
            <w:r w:rsidR="00365F07">
              <w:rPr>
                <w:rFonts w:cstheme="minorHAnsi"/>
              </w:rPr>
              <w:t>a</w:t>
            </w:r>
            <w:r>
              <w:rPr>
                <w:rFonts w:cstheme="minorHAnsi"/>
              </w:rPr>
              <w:t>m, but there is some differences between data</w:t>
            </w:r>
            <w:r w:rsidR="00365F07">
              <w:rPr>
                <w:rFonts w:cstheme="minorHAnsi"/>
              </w:rPr>
              <w:t xml:space="preserve"> (diagnosis)</w:t>
            </w:r>
            <w:r>
              <w:rPr>
                <w:rFonts w:cstheme="minorHAnsi"/>
              </w:rPr>
              <w:t xml:space="preserve"> seen between HealthInfoNet and what MaineCare receives in the daily census from hospitals. HIN obtains final information/data from hospitals </w:t>
            </w:r>
            <w:r w:rsidR="00365F07">
              <w:rPr>
                <w:rFonts w:cstheme="minorHAnsi"/>
              </w:rPr>
              <w:t xml:space="preserve">about 3-5 days post discharge, </w:t>
            </w:r>
            <w:r>
              <w:rPr>
                <w:rFonts w:cstheme="minorHAnsi"/>
              </w:rPr>
              <w:t>while hospitals may be giving</w:t>
            </w:r>
            <w:r w:rsidR="00365F07">
              <w:rPr>
                <w:rFonts w:cstheme="minorHAnsi"/>
              </w:rPr>
              <w:t xml:space="preserve"> preliminary diagnosis</w:t>
            </w:r>
            <w:r>
              <w:rPr>
                <w:rFonts w:cstheme="minorHAnsi"/>
              </w:rPr>
              <w:t xml:space="preserve"> data to MaineCare in the daily census. </w:t>
            </w:r>
            <w:r w:rsidR="00365F07">
              <w:rPr>
                <w:rFonts w:cstheme="minorHAnsi"/>
              </w:rPr>
              <w:t xml:space="preserve">More research is needed to confirm this. </w:t>
            </w:r>
          </w:p>
          <w:p w:rsidR="00546E39" w:rsidRPr="00720750" w:rsidRDefault="00F47B65" w:rsidP="001A6934">
            <w:pPr>
              <w:pStyle w:val="ListParagraph"/>
              <w:numPr>
                <w:ilvl w:val="1"/>
                <w:numId w:val="35"/>
              </w:numPr>
              <w:jc w:val="left"/>
              <w:rPr>
                <w:rFonts w:cstheme="minorHAnsi"/>
              </w:rPr>
            </w:pPr>
            <w:r>
              <w:rPr>
                <w:rFonts w:cstheme="minorHAnsi"/>
              </w:rPr>
              <w:t xml:space="preserve">HIN </w:t>
            </w:r>
            <w:r w:rsidR="00365F07">
              <w:rPr>
                <w:rFonts w:cstheme="minorHAnsi"/>
              </w:rPr>
              <w:t>will meet with</w:t>
            </w:r>
            <w:r>
              <w:rPr>
                <w:rFonts w:cstheme="minorHAnsi"/>
              </w:rPr>
              <w:t xml:space="preserve"> MaineCare</w:t>
            </w:r>
            <w:r w:rsidR="00365F07">
              <w:rPr>
                <w:rFonts w:cstheme="minorHAnsi"/>
              </w:rPr>
              <w:t xml:space="preserve"> on 9/25/14</w:t>
            </w:r>
            <w:r>
              <w:rPr>
                <w:rFonts w:cstheme="minorHAnsi"/>
              </w:rPr>
              <w:t xml:space="preserve"> leadership </w:t>
            </w:r>
            <w:r w:rsidR="00365F07">
              <w:rPr>
                <w:rFonts w:cstheme="minorHAnsi"/>
              </w:rPr>
              <w:t xml:space="preserve">discuss the testing results of the project and the implementation options available to them. </w:t>
            </w:r>
            <w:r>
              <w:rPr>
                <w:rFonts w:cstheme="minorHAnsi"/>
              </w:rPr>
              <w:t xml:space="preserve"> </w:t>
            </w:r>
            <w:r w:rsidR="001A6934">
              <w:rPr>
                <w:rFonts w:cstheme="minorHAnsi"/>
              </w:rPr>
              <w:t xml:space="preserve">There is an acknowledged variance between the original intent of the </w:t>
            </w:r>
            <w:r>
              <w:rPr>
                <w:rFonts w:cstheme="minorHAnsi"/>
              </w:rPr>
              <w:t xml:space="preserve">project </w:t>
            </w:r>
            <w:r w:rsidR="001A6934">
              <w:rPr>
                <w:rFonts w:cstheme="minorHAnsi"/>
              </w:rPr>
              <w:t>to</w:t>
            </w:r>
            <w:r w:rsidR="00365F07">
              <w:rPr>
                <w:rFonts w:cstheme="minorHAnsi"/>
              </w:rPr>
              <w:t xml:space="preserve"> focus on high cost/high risk</w:t>
            </w:r>
            <w:r w:rsidR="001A6934">
              <w:rPr>
                <w:rFonts w:cstheme="minorHAnsi"/>
              </w:rPr>
              <w:t xml:space="preserve"> members and the current focus of the MC ED project, ED diversion from non-acute needs to primary care</w:t>
            </w:r>
            <w:r>
              <w:rPr>
                <w:rFonts w:cstheme="minorHAnsi"/>
              </w:rPr>
              <w:t xml:space="preserve">. HIN </w:t>
            </w:r>
            <w:r w:rsidR="001A6934">
              <w:rPr>
                <w:rFonts w:cstheme="minorHAnsi"/>
              </w:rPr>
              <w:t xml:space="preserve">is able to provide the services testing based on risk models however more implementation planning must occur prior to moving forward. </w:t>
            </w:r>
          </w:p>
        </w:tc>
      </w:tr>
      <w:tr w:rsidR="000B45F8" w:rsidRPr="00990D1F" w:rsidTr="004D53AB">
        <w:tc>
          <w:tcPr>
            <w:tcW w:w="2970" w:type="dxa"/>
          </w:tcPr>
          <w:p w:rsidR="000B45F8" w:rsidRDefault="00F47B65" w:rsidP="00D814BE">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SIM Risk Mitigation (Randy Chenard)</w:t>
            </w:r>
          </w:p>
        </w:tc>
        <w:tc>
          <w:tcPr>
            <w:tcW w:w="11292" w:type="dxa"/>
            <w:gridSpan w:val="2"/>
          </w:tcPr>
          <w:p w:rsidR="00C43648" w:rsidRDefault="00F47B65" w:rsidP="00BC0FC1">
            <w:pPr>
              <w:pStyle w:val="ListParagraph"/>
              <w:numPr>
                <w:ilvl w:val="0"/>
                <w:numId w:val="35"/>
              </w:numPr>
              <w:jc w:val="left"/>
              <w:rPr>
                <w:rFonts w:cstheme="minorHAnsi"/>
              </w:rPr>
            </w:pPr>
            <w:r>
              <w:rPr>
                <w:rFonts w:cstheme="minorHAnsi"/>
              </w:rPr>
              <w:t>Randy reviewed the SIM Risk mitigation documents</w:t>
            </w:r>
            <w:r w:rsidR="00BC0FC1">
              <w:rPr>
                <w:rFonts w:cstheme="minorHAnsi"/>
              </w:rPr>
              <w:t xml:space="preserve"> and Governance role and responsibility of risk mitigation.</w:t>
            </w:r>
            <w:r>
              <w:rPr>
                <w:rFonts w:cstheme="minorHAnsi"/>
              </w:rPr>
              <w:t xml:space="preserve"> </w:t>
            </w:r>
          </w:p>
        </w:tc>
      </w:tr>
      <w:tr w:rsidR="004D53AB" w:rsidRPr="00990D1F" w:rsidTr="004D53AB">
        <w:tc>
          <w:tcPr>
            <w:tcW w:w="2970" w:type="dxa"/>
          </w:tcPr>
          <w:p w:rsidR="004D53AB" w:rsidRPr="00C43648" w:rsidRDefault="00F47B65" w:rsidP="00D814BE">
            <w:pPr>
              <w:pStyle w:val="Formal1"/>
              <w:spacing w:after="0"/>
              <w:rPr>
                <w:rFonts w:asciiTheme="minorHAnsi" w:hAnsiTheme="minorHAnsi" w:cstheme="minorHAnsi"/>
                <w:b/>
              </w:rPr>
            </w:pPr>
            <w:r>
              <w:rPr>
                <w:rFonts w:asciiTheme="minorHAnsi" w:hAnsiTheme="minorHAnsi" w:cstheme="minorHAnsi"/>
                <w:b/>
              </w:rPr>
              <w:t>SIM Risk #6</w:t>
            </w:r>
            <w:r w:rsidR="005E1112">
              <w:rPr>
                <w:rFonts w:asciiTheme="minorHAnsi" w:hAnsiTheme="minorHAnsi" w:cstheme="minorHAnsi"/>
                <w:b/>
              </w:rPr>
              <w:t xml:space="preserve">: </w:t>
            </w:r>
            <w:r w:rsidR="005E1112" w:rsidRPr="005E1112">
              <w:rPr>
                <w:rFonts w:asciiTheme="minorHAnsi" w:hAnsiTheme="minorHAnsi" w:cstheme="minorHAnsi"/>
              </w:rPr>
              <w:t xml:space="preserve">Behavioral Health </w:t>
            </w:r>
            <w:r w:rsidR="005E1112" w:rsidRPr="005E1112">
              <w:rPr>
                <w:rFonts w:asciiTheme="minorHAnsi" w:hAnsiTheme="minorHAnsi" w:cstheme="minorHAnsi"/>
              </w:rPr>
              <w:t xml:space="preserve">EHR </w:t>
            </w:r>
            <w:r w:rsidR="005E1112" w:rsidRPr="005E1112">
              <w:rPr>
                <w:rFonts w:asciiTheme="minorHAnsi" w:hAnsiTheme="minorHAnsi" w:cstheme="minorHAnsi"/>
              </w:rPr>
              <w:t>vendor constraints</w:t>
            </w:r>
          </w:p>
        </w:tc>
        <w:tc>
          <w:tcPr>
            <w:tcW w:w="11292" w:type="dxa"/>
            <w:gridSpan w:val="2"/>
          </w:tcPr>
          <w:p w:rsidR="00FF2AF5" w:rsidRPr="00D94889" w:rsidRDefault="00BC0FC1" w:rsidP="00BC0FC1">
            <w:pPr>
              <w:pStyle w:val="ListParagraph"/>
              <w:numPr>
                <w:ilvl w:val="0"/>
                <w:numId w:val="36"/>
              </w:numPr>
              <w:tabs>
                <w:tab w:val="left" w:pos="1125"/>
              </w:tabs>
              <w:ind w:left="702"/>
              <w:jc w:val="left"/>
              <w:rPr>
                <w:rFonts w:cstheme="minorHAnsi"/>
              </w:rPr>
            </w:pPr>
            <w:r>
              <w:rPr>
                <w:rFonts w:cstheme="minorHAnsi"/>
              </w:rPr>
              <w:t>Katie presented Risk #6, “Behavioral Health vendor constraints and impact to the HIT reimbursement initiative”. HIN has encountered development constraints from most of the vendors in the project. There are currently 8 vendors involved in the project. HIN is not concerned that this risk will turn into an active “issue”. Although constraints have caused a delay in the milestone deadline goal for the first milestone due 9/30/14, the buffer of time in the fo</w:t>
            </w:r>
            <w:bookmarkStart w:id="0" w:name="_GoBack"/>
            <w:bookmarkEnd w:id="0"/>
            <w:r>
              <w:rPr>
                <w:rFonts w:cstheme="minorHAnsi"/>
              </w:rPr>
              <w:t xml:space="preserve">llowing milestone gives everyone time to get caught up. HIN expects the orgs. </w:t>
            </w:r>
            <w:proofErr w:type="gramStart"/>
            <w:r>
              <w:rPr>
                <w:rFonts w:cstheme="minorHAnsi"/>
              </w:rPr>
              <w:t>to</w:t>
            </w:r>
            <w:proofErr w:type="gramEnd"/>
            <w:r>
              <w:rPr>
                <w:rFonts w:cstheme="minorHAnsi"/>
              </w:rPr>
              <w:t xml:space="preserve"> get caught up for the following milestone. Milestone 1 is delayed for most by 1-3 months. </w:t>
            </w:r>
          </w:p>
        </w:tc>
      </w:tr>
      <w:tr w:rsidR="00F47B65" w:rsidRPr="00990D1F" w:rsidTr="004D53AB">
        <w:tc>
          <w:tcPr>
            <w:tcW w:w="2970" w:type="dxa"/>
          </w:tcPr>
          <w:p w:rsidR="00F47B65" w:rsidRDefault="00F47B65" w:rsidP="00D814BE">
            <w:pPr>
              <w:pStyle w:val="Formal1"/>
              <w:spacing w:after="0"/>
              <w:rPr>
                <w:rFonts w:asciiTheme="minorHAnsi" w:hAnsiTheme="minorHAnsi" w:cstheme="minorHAnsi"/>
                <w:b/>
              </w:rPr>
            </w:pPr>
            <w:r>
              <w:rPr>
                <w:rFonts w:asciiTheme="minorHAnsi" w:hAnsiTheme="minorHAnsi" w:cstheme="minorHAnsi"/>
                <w:b/>
              </w:rPr>
              <w:t>SIM Risk #21 – Care Coordination</w:t>
            </w:r>
            <w:r w:rsidR="007413C8">
              <w:rPr>
                <w:rFonts w:asciiTheme="minorHAnsi" w:hAnsiTheme="minorHAnsi" w:cstheme="minorHAnsi"/>
                <w:b/>
              </w:rPr>
              <w:t xml:space="preserve"> Fragmentation- </w:t>
            </w:r>
            <w:r w:rsidR="007413C8" w:rsidRPr="007413C8">
              <w:rPr>
                <w:rFonts w:asciiTheme="minorHAnsi" w:hAnsiTheme="minorHAnsi" w:cstheme="minorHAnsi"/>
              </w:rPr>
              <w:t xml:space="preserve">Looking for technical solutions from the </w:t>
            </w:r>
            <w:r w:rsidR="007413C8" w:rsidRPr="007413C8">
              <w:rPr>
                <w:rFonts w:asciiTheme="minorHAnsi" w:hAnsiTheme="minorHAnsi" w:cstheme="minorHAnsi"/>
              </w:rPr>
              <w:lastRenderedPageBreak/>
              <w:t>Data Subcommittee</w:t>
            </w:r>
          </w:p>
        </w:tc>
        <w:tc>
          <w:tcPr>
            <w:tcW w:w="11292" w:type="dxa"/>
            <w:gridSpan w:val="2"/>
          </w:tcPr>
          <w:p w:rsidR="00F47B65" w:rsidRDefault="00F47B65" w:rsidP="00C43648">
            <w:pPr>
              <w:pStyle w:val="ListParagraph"/>
              <w:numPr>
                <w:ilvl w:val="0"/>
                <w:numId w:val="36"/>
              </w:numPr>
              <w:tabs>
                <w:tab w:val="left" w:pos="1125"/>
              </w:tabs>
              <w:ind w:left="702"/>
              <w:jc w:val="left"/>
              <w:rPr>
                <w:rFonts w:cstheme="minorHAnsi"/>
              </w:rPr>
            </w:pPr>
            <w:r>
              <w:rPr>
                <w:rFonts w:cstheme="minorHAnsi"/>
              </w:rPr>
              <w:lastRenderedPageBreak/>
              <w:t>Lisa Tuttle from Maine Quality Counts joined the meeting to provide an overview of the risk that was raised as a SIM risk during a Delivery System Reform Sub-Committee meeting. Lisa shared her documents of the risk</w:t>
            </w:r>
            <w:r w:rsidR="002A5707">
              <w:rPr>
                <w:rFonts w:cstheme="minorHAnsi"/>
              </w:rPr>
              <w:t xml:space="preserve"> as shared with the Steering Committee</w:t>
            </w:r>
            <w:r>
              <w:rPr>
                <w:rFonts w:cstheme="minorHAnsi"/>
              </w:rPr>
              <w:t>.</w:t>
            </w:r>
          </w:p>
          <w:p w:rsidR="00F47B65" w:rsidRDefault="00F47B65" w:rsidP="00C43648">
            <w:pPr>
              <w:pStyle w:val="ListParagraph"/>
              <w:numPr>
                <w:ilvl w:val="0"/>
                <w:numId w:val="36"/>
              </w:numPr>
              <w:tabs>
                <w:tab w:val="left" w:pos="1125"/>
              </w:tabs>
              <w:ind w:left="702"/>
              <w:jc w:val="left"/>
              <w:rPr>
                <w:rFonts w:cstheme="minorHAnsi"/>
              </w:rPr>
            </w:pPr>
            <w:r>
              <w:rPr>
                <w:rFonts w:cstheme="minorHAnsi"/>
              </w:rPr>
              <w:t xml:space="preserve">HIN has done some </w:t>
            </w:r>
            <w:r w:rsidR="002A5707">
              <w:rPr>
                <w:rFonts w:cstheme="minorHAnsi"/>
              </w:rPr>
              <w:t xml:space="preserve">research to see what options they </w:t>
            </w:r>
            <w:r>
              <w:rPr>
                <w:rFonts w:cstheme="minorHAnsi"/>
              </w:rPr>
              <w:t>may have to help mitigate this risk. This topic has been raised nationally as an issue</w:t>
            </w:r>
            <w:r w:rsidR="004E4EF6">
              <w:rPr>
                <w:rFonts w:cstheme="minorHAnsi"/>
              </w:rPr>
              <w:t xml:space="preserve"> by HIN and others.</w:t>
            </w:r>
          </w:p>
          <w:p w:rsidR="00D9470D" w:rsidRDefault="00D9470D" w:rsidP="00C43648">
            <w:pPr>
              <w:pStyle w:val="ListParagraph"/>
              <w:numPr>
                <w:ilvl w:val="0"/>
                <w:numId w:val="36"/>
              </w:numPr>
              <w:tabs>
                <w:tab w:val="left" w:pos="1125"/>
              </w:tabs>
              <w:ind w:left="702"/>
              <w:jc w:val="left"/>
              <w:rPr>
                <w:rFonts w:cstheme="minorHAnsi"/>
              </w:rPr>
            </w:pPr>
            <w:r>
              <w:rPr>
                <w:rFonts w:cstheme="minorHAnsi"/>
              </w:rPr>
              <w:lastRenderedPageBreak/>
              <w:t>Currently providers who have access to HIN are not allowed to enter data into the portal for security reasons. HIN is currently seeking out grant funding to explore the possibility of d</w:t>
            </w:r>
            <w:r w:rsidR="004E4EF6">
              <w:rPr>
                <w:rFonts w:cstheme="minorHAnsi"/>
              </w:rPr>
              <w:t xml:space="preserve">eveloping a “shared care plan” that stakeholders would convene to set standards for providers of care entering information directly into the HIN Portal. There is currently no funding to pursue this project. If funding is secured it would take significant time to plan, test, and implement these concepts. There is no immediate HIN solution on the table. </w:t>
            </w:r>
          </w:p>
          <w:p w:rsidR="004E4EF6" w:rsidRDefault="004E4EF6" w:rsidP="00C43648">
            <w:pPr>
              <w:pStyle w:val="ListParagraph"/>
              <w:numPr>
                <w:ilvl w:val="0"/>
                <w:numId w:val="36"/>
              </w:numPr>
              <w:tabs>
                <w:tab w:val="left" w:pos="1125"/>
              </w:tabs>
              <w:ind w:left="702"/>
              <w:jc w:val="left"/>
              <w:rPr>
                <w:rFonts w:cstheme="minorHAnsi"/>
              </w:rPr>
            </w:pPr>
            <w:r>
              <w:rPr>
                <w:rFonts w:cstheme="minorHAnsi"/>
              </w:rPr>
              <w:t xml:space="preserve">Lisa requested for IT solutions beyond HIN. The committee did not have current solutions or experiences of their own to offer, the consensus seems to be that the technical tools (EMR’s etc.) that we use do not solve this concern. The concerns are shared by the IT/Data experts and do not have a solution- per the scope of this group and discussion. </w:t>
            </w:r>
          </w:p>
        </w:tc>
      </w:tr>
      <w:tr w:rsidR="00D814BE" w:rsidRPr="00990D1F" w:rsidTr="004D53AB">
        <w:tc>
          <w:tcPr>
            <w:tcW w:w="2970" w:type="dxa"/>
          </w:tcPr>
          <w:p w:rsidR="00D814BE" w:rsidRPr="005F4D9C" w:rsidRDefault="006F4DA3" w:rsidP="00D814BE">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Interested Parties; Public Comment</w:t>
            </w:r>
          </w:p>
        </w:tc>
        <w:tc>
          <w:tcPr>
            <w:tcW w:w="11292" w:type="dxa"/>
            <w:gridSpan w:val="2"/>
          </w:tcPr>
          <w:p w:rsidR="00D814BE" w:rsidRDefault="00F47B65" w:rsidP="006F4DA3">
            <w:pPr>
              <w:pStyle w:val="ListParagraph"/>
              <w:numPr>
                <w:ilvl w:val="0"/>
                <w:numId w:val="37"/>
              </w:numPr>
              <w:ind w:left="702"/>
              <w:jc w:val="left"/>
              <w:rPr>
                <w:rFonts w:cstheme="minorHAnsi"/>
              </w:rPr>
            </w:pPr>
            <w:r>
              <w:rPr>
                <w:rFonts w:cstheme="minorHAnsi"/>
              </w:rPr>
              <w:t>None</w:t>
            </w:r>
          </w:p>
        </w:tc>
      </w:tr>
    </w:tbl>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214A97" w:rsidP="0022432C">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698"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F93103">
            <w:pPr>
              <w:jc w:val="left"/>
              <w:rPr>
                <w:rFonts w:cs="Arial"/>
                <w:sz w:val="24"/>
                <w:szCs w:val="24"/>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37" w:rsidRDefault="00416137" w:rsidP="005261E9">
      <w:r>
        <w:separator/>
      </w:r>
    </w:p>
  </w:endnote>
  <w:endnote w:type="continuationSeparator" w:id="0">
    <w:p w:rsidR="00416137" w:rsidRDefault="0041613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5E1112">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5E1112">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37" w:rsidRDefault="00416137" w:rsidP="005261E9">
      <w:r>
        <w:separator/>
      </w:r>
    </w:p>
  </w:footnote>
  <w:footnote w:type="continuationSeparator" w:id="0">
    <w:p w:rsidR="00416137" w:rsidRDefault="0041613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41613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3659"/>
    <w:multiLevelType w:val="hybridMultilevel"/>
    <w:tmpl w:val="5DDC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118E9"/>
    <w:multiLevelType w:val="hybridMultilevel"/>
    <w:tmpl w:val="12DC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44DCF"/>
    <w:multiLevelType w:val="hybridMultilevel"/>
    <w:tmpl w:val="AA9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1A740D"/>
    <w:multiLevelType w:val="hybridMultilevel"/>
    <w:tmpl w:val="B5F0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400F6"/>
    <w:multiLevelType w:val="hybridMultilevel"/>
    <w:tmpl w:val="2E0626D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2">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22C1D"/>
    <w:multiLevelType w:val="hybridMultilevel"/>
    <w:tmpl w:val="32D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0525A"/>
    <w:multiLevelType w:val="hybridMultilevel"/>
    <w:tmpl w:val="F596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617E28"/>
    <w:multiLevelType w:val="hybridMultilevel"/>
    <w:tmpl w:val="4B66FFF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3">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50AB6"/>
    <w:multiLevelType w:val="hybridMultilevel"/>
    <w:tmpl w:val="18364584"/>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5">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0"/>
  </w:num>
  <w:num w:numId="4">
    <w:abstractNumId w:val="11"/>
  </w:num>
  <w:num w:numId="5">
    <w:abstractNumId w:val="13"/>
  </w:num>
  <w:num w:numId="6">
    <w:abstractNumId w:val="28"/>
  </w:num>
  <w:num w:numId="7">
    <w:abstractNumId w:val="16"/>
  </w:num>
  <w:num w:numId="8">
    <w:abstractNumId w:val="23"/>
  </w:num>
  <w:num w:numId="9">
    <w:abstractNumId w:val="5"/>
  </w:num>
  <w:num w:numId="10">
    <w:abstractNumId w:val="29"/>
  </w:num>
  <w:num w:numId="11">
    <w:abstractNumId w:val="19"/>
  </w:num>
  <w:num w:numId="12">
    <w:abstractNumId w:val="10"/>
  </w:num>
  <w:num w:numId="13">
    <w:abstractNumId w:val="35"/>
  </w:num>
  <w:num w:numId="14">
    <w:abstractNumId w:val="2"/>
  </w:num>
  <w:num w:numId="15">
    <w:abstractNumId w:val="33"/>
  </w:num>
  <w:num w:numId="16">
    <w:abstractNumId w:val="7"/>
  </w:num>
  <w:num w:numId="17">
    <w:abstractNumId w:val="22"/>
  </w:num>
  <w:num w:numId="18">
    <w:abstractNumId w:val="17"/>
  </w:num>
  <w:num w:numId="19">
    <w:abstractNumId w:val="27"/>
  </w:num>
  <w:num w:numId="20">
    <w:abstractNumId w:val="8"/>
  </w:num>
  <w:num w:numId="21">
    <w:abstractNumId w:val="36"/>
  </w:num>
  <w:num w:numId="22">
    <w:abstractNumId w:val="9"/>
  </w:num>
  <w:num w:numId="23">
    <w:abstractNumId w:val="20"/>
  </w:num>
  <w:num w:numId="24">
    <w:abstractNumId w:val="6"/>
  </w:num>
  <w:num w:numId="25">
    <w:abstractNumId w:val="26"/>
  </w:num>
  <w:num w:numId="26">
    <w:abstractNumId w:val="25"/>
  </w:num>
  <w:num w:numId="27">
    <w:abstractNumId w:val="31"/>
  </w:num>
  <w:num w:numId="28">
    <w:abstractNumId w:val="14"/>
  </w:num>
  <w:num w:numId="29">
    <w:abstractNumId w:val="30"/>
  </w:num>
  <w:num w:numId="30">
    <w:abstractNumId w:val="18"/>
  </w:num>
  <w:num w:numId="31">
    <w:abstractNumId w:val="15"/>
  </w:num>
  <w:num w:numId="32">
    <w:abstractNumId w:val="32"/>
  </w:num>
  <w:num w:numId="33">
    <w:abstractNumId w:val="1"/>
  </w:num>
  <w:num w:numId="34">
    <w:abstractNumId w:val="21"/>
  </w:num>
  <w:num w:numId="35">
    <w:abstractNumId w:val="3"/>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1F78"/>
    <w:rsid w:val="000729CB"/>
    <w:rsid w:val="00073E14"/>
    <w:rsid w:val="00081AD2"/>
    <w:rsid w:val="00086535"/>
    <w:rsid w:val="00090444"/>
    <w:rsid w:val="00093C04"/>
    <w:rsid w:val="000A3105"/>
    <w:rsid w:val="000A664A"/>
    <w:rsid w:val="000B0295"/>
    <w:rsid w:val="000B3D00"/>
    <w:rsid w:val="000B3F54"/>
    <w:rsid w:val="000B45F8"/>
    <w:rsid w:val="000D222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7754F"/>
    <w:rsid w:val="001828B7"/>
    <w:rsid w:val="00197E06"/>
    <w:rsid w:val="001A6934"/>
    <w:rsid w:val="001A7200"/>
    <w:rsid w:val="001A7E5D"/>
    <w:rsid w:val="001B17DC"/>
    <w:rsid w:val="001B5487"/>
    <w:rsid w:val="001C2239"/>
    <w:rsid w:val="001D6946"/>
    <w:rsid w:val="001F6FB4"/>
    <w:rsid w:val="00207B55"/>
    <w:rsid w:val="00214A97"/>
    <w:rsid w:val="00217E69"/>
    <w:rsid w:val="002243F2"/>
    <w:rsid w:val="0022745E"/>
    <w:rsid w:val="00235B69"/>
    <w:rsid w:val="00237CB3"/>
    <w:rsid w:val="0024309F"/>
    <w:rsid w:val="0024604C"/>
    <w:rsid w:val="00250CCD"/>
    <w:rsid w:val="00251854"/>
    <w:rsid w:val="00257AF3"/>
    <w:rsid w:val="00273B77"/>
    <w:rsid w:val="002748B1"/>
    <w:rsid w:val="00282531"/>
    <w:rsid w:val="00282E0A"/>
    <w:rsid w:val="00283021"/>
    <w:rsid w:val="00286629"/>
    <w:rsid w:val="002924EB"/>
    <w:rsid w:val="002A5707"/>
    <w:rsid w:val="002B5D69"/>
    <w:rsid w:val="002B6325"/>
    <w:rsid w:val="002B70BD"/>
    <w:rsid w:val="002C2DD3"/>
    <w:rsid w:val="002C2FBA"/>
    <w:rsid w:val="002C7742"/>
    <w:rsid w:val="002D0658"/>
    <w:rsid w:val="002D5DEA"/>
    <w:rsid w:val="002D64D8"/>
    <w:rsid w:val="002D664C"/>
    <w:rsid w:val="002E4357"/>
    <w:rsid w:val="002E45B1"/>
    <w:rsid w:val="002F4AEB"/>
    <w:rsid w:val="00302696"/>
    <w:rsid w:val="003128FE"/>
    <w:rsid w:val="00324CF3"/>
    <w:rsid w:val="0032502E"/>
    <w:rsid w:val="0033176A"/>
    <w:rsid w:val="0033286A"/>
    <w:rsid w:val="0035442F"/>
    <w:rsid w:val="00357C99"/>
    <w:rsid w:val="00362684"/>
    <w:rsid w:val="0036506D"/>
    <w:rsid w:val="00365F07"/>
    <w:rsid w:val="00373026"/>
    <w:rsid w:val="00373A02"/>
    <w:rsid w:val="00377C6E"/>
    <w:rsid w:val="0038690C"/>
    <w:rsid w:val="003B3A33"/>
    <w:rsid w:val="003C1F65"/>
    <w:rsid w:val="003C3747"/>
    <w:rsid w:val="003D6F76"/>
    <w:rsid w:val="003E0D8E"/>
    <w:rsid w:val="003E2AC7"/>
    <w:rsid w:val="003E6849"/>
    <w:rsid w:val="003F0DC9"/>
    <w:rsid w:val="00405196"/>
    <w:rsid w:val="00416137"/>
    <w:rsid w:val="00420ED3"/>
    <w:rsid w:val="004279FF"/>
    <w:rsid w:val="00433EB8"/>
    <w:rsid w:val="0043502A"/>
    <w:rsid w:val="0044521E"/>
    <w:rsid w:val="004452D1"/>
    <w:rsid w:val="00453209"/>
    <w:rsid w:val="00456CF4"/>
    <w:rsid w:val="0046623E"/>
    <w:rsid w:val="004776A0"/>
    <w:rsid w:val="00485155"/>
    <w:rsid w:val="00496871"/>
    <w:rsid w:val="004A19EA"/>
    <w:rsid w:val="004A6BC9"/>
    <w:rsid w:val="004C7326"/>
    <w:rsid w:val="004D0A28"/>
    <w:rsid w:val="004D53AB"/>
    <w:rsid w:val="004E4EF6"/>
    <w:rsid w:val="004E593A"/>
    <w:rsid w:val="004F0AC7"/>
    <w:rsid w:val="004F4DE4"/>
    <w:rsid w:val="004F505A"/>
    <w:rsid w:val="005103D7"/>
    <w:rsid w:val="00512BE1"/>
    <w:rsid w:val="005171A9"/>
    <w:rsid w:val="0052440D"/>
    <w:rsid w:val="005261E9"/>
    <w:rsid w:val="0052760A"/>
    <w:rsid w:val="00532B24"/>
    <w:rsid w:val="005419CE"/>
    <w:rsid w:val="00541C44"/>
    <w:rsid w:val="00546E39"/>
    <w:rsid w:val="005533A8"/>
    <w:rsid w:val="005568EC"/>
    <w:rsid w:val="00564B5C"/>
    <w:rsid w:val="00566A38"/>
    <w:rsid w:val="0057068A"/>
    <w:rsid w:val="00572012"/>
    <w:rsid w:val="00574A36"/>
    <w:rsid w:val="005764ED"/>
    <w:rsid w:val="00576891"/>
    <w:rsid w:val="005800E4"/>
    <w:rsid w:val="00591948"/>
    <w:rsid w:val="005930A0"/>
    <w:rsid w:val="005972F3"/>
    <w:rsid w:val="005A20A4"/>
    <w:rsid w:val="005A4406"/>
    <w:rsid w:val="005A59E4"/>
    <w:rsid w:val="005B1AD7"/>
    <w:rsid w:val="005C03E8"/>
    <w:rsid w:val="005C2BA9"/>
    <w:rsid w:val="005C32A2"/>
    <w:rsid w:val="005C6CC2"/>
    <w:rsid w:val="005C6D82"/>
    <w:rsid w:val="005E1112"/>
    <w:rsid w:val="005E1A10"/>
    <w:rsid w:val="005F379B"/>
    <w:rsid w:val="005F3ED1"/>
    <w:rsid w:val="005F5668"/>
    <w:rsid w:val="005F674F"/>
    <w:rsid w:val="00600A39"/>
    <w:rsid w:val="00604980"/>
    <w:rsid w:val="00605991"/>
    <w:rsid w:val="00605B60"/>
    <w:rsid w:val="00616E1E"/>
    <w:rsid w:val="0063630E"/>
    <w:rsid w:val="00636637"/>
    <w:rsid w:val="006379DA"/>
    <w:rsid w:val="006444D7"/>
    <w:rsid w:val="006554C1"/>
    <w:rsid w:val="00663908"/>
    <w:rsid w:val="00667AC1"/>
    <w:rsid w:val="00671C49"/>
    <w:rsid w:val="006813C4"/>
    <w:rsid w:val="00683928"/>
    <w:rsid w:val="006855F8"/>
    <w:rsid w:val="0069587D"/>
    <w:rsid w:val="006A0A6B"/>
    <w:rsid w:val="006A16B8"/>
    <w:rsid w:val="006A1F1F"/>
    <w:rsid w:val="006B3862"/>
    <w:rsid w:val="006C6BC9"/>
    <w:rsid w:val="006E5423"/>
    <w:rsid w:val="006E689F"/>
    <w:rsid w:val="006E6C53"/>
    <w:rsid w:val="006F1289"/>
    <w:rsid w:val="006F15FF"/>
    <w:rsid w:val="006F3934"/>
    <w:rsid w:val="006F4DA3"/>
    <w:rsid w:val="0070192A"/>
    <w:rsid w:val="00705406"/>
    <w:rsid w:val="00720750"/>
    <w:rsid w:val="00722CA9"/>
    <w:rsid w:val="00724F63"/>
    <w:rsid w:val="00725F68"/>
    <w:rsid w:val="00731F5C"/>
    <w:rsid w:val="00735D33"/>
    <w:rsid w:val="00736B94"/>
    <w:rsid w:val="0073775A"/>
    <w:rsid w:val="007413C8"/>
    <w:rsid w:val="007444EA"/>
    <w:rsid w:val="00765ACD"/>
    <w:rsid w:val="0077220B"/>
    <w:rsid w:val="00772268"/>
    <w:rsid w:val="0077766F"/>
    <w:rsid w:val="00781B68"/>
    <w:rsid w:val="00783336"/>
    <w:rsid w:val="007934FD"/>
    <w:rsid w:val="00796549"/>
    <w:rsid w:val="00796FBD"/>
    <w:rsid w:val="00797A73"/>
    <w:rsid w:val="007A6FF8"/>
    <w:rsid w:val="007B5B0F"/>
    <w:rsid w:val="007B64B4"/>
    <w:rsid w:val="007C629F"/>
    <w:rsid w:val="007C77E2"/>
    <w:rsid w:val="007D36C7"/>
    <w:rsid w:val="007E4388"/>
    <w:rsid w:val="007E4544"/>
    <w:rsid w:val="007F3117"/>
    <w:rsid w:val="008145DB"/>
    <w:rsid w:val="008218F2"/>
    <w:rsid w:val="0082724B"/>
    <w:rsid w:val="008357EC"/>
    <w:rsid w:val="008434F9"/>
    <w:rsid w:val="008447C5"/>
    <w:rsid w:val="0085323D"/>
    <w:rsid w:val="00855B81"/>
    <w:rsid w:val="008623EC"/>
    <w:rsid w:val="0086630B"/>
    <w:rsid w:val="00891C68"/>
    <w:rsid w:val="008A07E3"/>
    <w:rsid w:val="008B0882"/>
    <w:rsid w:val="008B1CD7"/>
    <w:rsid w:val="008B4134"/>
    <w:rsid w:val="008D02DD"/>
    <w:rsid w:val="008D58F3"/>
    <w:rsid w:val="008E0FE6"/>
    <w:rsid w:val="008F29CC"/>
    <w:rsid w:val="008F6958"/>
    <w:rsid w:val="008F74F2"/>
    <w:rsid w:val="00926DAC"/>
    <w:rsid w:val="009322EB"/>
    <w:rsid w:val="00933930"/>
    <w:rsid w:val="009344D1"/>
    <w:rsid w:val="00942E2B"/>
    <w:rsid w:val="00944146"/>
    <w:rsid w:val="0094434A"/>
    <w:rsid w:val="009539B2"/>
    <w:rsid w:val="00956F24"/>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D31"/>
    <w:rsid w:val="009F2BD1"/>
    <w:rsid w:val="00A15F9D"/>
    <w:rsid w:val="00A21258"/>
    <w:rsid w:val="00A3144A"/>
    <w:rsid w:val="00A335D5"/>
    <w:rsid w:val="00A37FAD"/>
    <w:rsid w:val="00A44F0C"/>
    <w:rsid w:val="00A4641F"/>
    <w:rsid w:val="00A6067C"/>
    <w:rsid w:val="00A6246E"/>
    <w:rsid w:val="00A67D08"/>
    <w:rsid w:val="00A70DBF"/>
    <w:rsid w:val="00A70F04"/>
    <w:rsid w:val="00A71DF1"/>
    <w:rsid w:val="00A72713"/>
    <w:rsid w:val="00A81534"/>
    <w:rsid w:val="00A86873"/>
    <w:rsid w:val="00A92CBB"/>
    <w:rsid w:val="00A9678A"/>
    <w:rsid w:val="00AA1F9E"/>
    <w:rsid w:val="00AA53E1"/>
    <w:rsid w:val="00AB03ED"/>
    <w:rsid w:val="00AB0B15"/>
    <w:rsid w:val="00AB7558"/>
    <w:rsid w:val="00AC0CE5"/>
    <w:rsid w:val="00AC2CB9"/>
    <w:rsid w:val="00AC7353"/>
    <w:rsid w:val="00AD7444"/>
    <w:rsid w:val="00AE05D2"/>
    <w:rsid w:val="00AE5F30"/>
    <w:rsid w:val="00AE74A7"/>
    <w:rsid w:val="00AF2735"/>
    <w:rsid w:val="00B00402"/>
    <w:rsid w:val="00B1500A"/>
    <w:rsid w:val="00B16193"/>
    <w:rsid w:val="00B2323B"/>
    <w:rsid w:val="00B27761"/>
    <w:rsid w:val="00B27EF0"/>
    <w:rsid w:val="00B37255"/>
    <w:rsid w:val="00B4414E"/>
    <w:rsid w:val="00B50A92"/>
    <w:rsid w:val="00B55426"/>
    <w:rsid w:val="00B56216"/>
    <w:rsid w:val="00B57A9B"/>
    <w:rsid w:val="00B71FCD"/>
    <w:rsid w:val="00B75CC9"/>
    <w:rsid w:val="00B7641E"/>
    <w:rsid w:val="00B76C72"/>
    <w:rsid w:val="00B84CEB"/>
    <w:rsid w:val="00B91424"/>
    <w:rsid w:val="00BA32D1"/>
    <w:rsid w:val="00BA716E"/>
    <w:rsid w:val="00BB4447"/>
    <w:rsid w:val="00BB54FD"/>
    <w:rsid w:val="00BC01BD"/>
    <w:rsid w:val="00BC0FC1"/>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43648"/>
    <w:rsid w:val="00C5154B"/>
    <w:rsid w:val="00C5420C"/>
    <w:rsid w:val="00C60698"/>
    <w:rsid w:val="00C60DD0"/>
    <w:rsid w:val="00C66B4E"/>
    <w:rsid w:val="00C67E53"/>
    <w:rsid w:val="00C72CB7"/>
    <w:rsid w:val="00C85238"/>
    <w:rsid w:val="00CA785A"/>
    <w:rsid w:val="00CB0FCC"/>
    <w:rsid w:val="00CB3767"/>
    <w:rsid w:val="00CB5D1F"/>
    <w:rsid w:val="00CC1F2A"/>
    <w:rsid w:val="00CC5004"/>
    <w:rsid w:val="00CD1E3B"/>
    <w:rsid w:val="00CD22D2"/>
    <w:rsid w:val="00CF6EF2"/>
    <w:rsid w:val="00D00D15"/>
    <w:rsid w:val="00D11570"/>
    <w:rsid w:val="00D16513"/>
    <w:rsid w:val="00D20057"/>
    <w:rsid w:val="00D243A2"/>
    <w:rsid w:val="00D26692"/>
    <w:rsid w:val="00D33C69"/>
    <w:rsid w:val="00D350F7"/>
    <w:rsid w:val="00D40CE9"/>
    <w:rsid w:val="00D503B1"/>
    <w:rsid w:val="00D57B06"/>
    <w:rsid w:val="00D72AE2"/>
    <w:rsid w:val="00D80D2E"/>
    <w:rsid w:val="00D814BE"/>
    <w:rsid w:val="00D83573"/>
    <w:rsid w:val="00D87281"/>
    <w:rsid w:val="00D90010"/>
    <w:rsid w:val="00D90642"/>
    <w:rsid w:val="00D9470D"/>
    <w:rsid w:val="00D94889"/>
    <w:rsid w:val="00D9595F"/>
    <w:rsid w:val="00DA3157"/>
    <w:rsid w:val="00DA3DDB"/>
    <w:rsid w:val="00DA4F5E"/>
    <w:rsid w:val="00DC1678"/>
    <w:rsid w:val="00DD164D"/>
    <w:rsid w:val="00DD2B6B"/>
    <w:rsid w:val="00DD61CA"/>
    <w:rsid w:val="00DD63B1"/>
    <w:rsid w:val="00DE7656"/>
    <w:rsid w:val="00DF0426"/>
    <w:rsid w:val="00DF3F66"/>
    <w:rsid w:val="00DF4F90"/>
    <w:rsid w:val="00E0433A"/>
    <w:rsid w:val="00E10F9A"/>
    <w:rsid w:val="00E15AC0"/>
    <w:rsid w:val="00E16FAD"/>
    <w:rsid w:val="00E20D8E"/>
    <w:rsid w:val="00E22D25"/>
    <w:rsid w:val="00E255BC"/>
    <w:rsid w:val="00E2772A"/>
    <w:rsid w:val="00E27DCF"/>
    <w:rsid w:val="00E37661"/>
    <w:rsid w:val="00E4680B"/>
    <w:rsid w:val="00E6028A"/>
    <w:rsid w:val="00E65FB7"/>
    <w:rsid w:val="00E75F2C"/>
    <w:rsid w:val="00E82E95"/>
    <w:rsid w:val="00E844DE"/>
    <w:rsid w:val="00E87349"/>
    <w:rsid w:val="00E91394"/>
    <w:rsid w:val="00E93629"/>
    <w:rsid w:val="00E95CFE"/>
    <w:rsid w:val="00EA19D4"/>
    <w:rsid w:val="00EB5D6A"/>
    <w:rsid w:val="00EC2CBE"/>
    <w:rsid w:val="00ED639B"/>
    <w:rsid w:val="00EE6290"/>
    <w:rsid w:val="00EF041D"/>
    <w:rsid w:val="00EF3C7B"/>
    <w:rsid w:val="00F059FD"/>
    <w:rsid w:val="00F1172F"/>
    <w:rsid w:val="00F14FE4"/>
    <w:rsid w:val="00F15EC2"/>
    <w:rsid w:val="00F20B0A"/>
    <w:rsid w:val="00F25768"/>
    <w:rsid w:val="00F30306"/>
    <w:rsid w:val="00F40106"/>
    <w:rsid w:val="00F46CE9"/>
    <w:rsid w:val="00F470EF"/>
    <w:rsid w:val="00F47B65"/>
    <w:rsid w:val="00F52F2A"/>
    <w:rsid w:val="00F53988"/>
    <w:rsid w:val="00F6206F"/>
    <w:rsid w:val="00F64707"/>
    <w:rsid w:val="00F70E4E"/>
    <w:rsid w:val="00F775CE"/>
    <w:rsid w:val="00F869DE"/>
    <w:rsid w:val="00F93103"/>
    <w:rsid w:val="00F94B6D"/>
    <w:rsid w:val="00F958B7"/>
    <w:rsid w:val="00F96AC7"/>
    <w:rsid w:val="00FB5382"/>
    <w:rsid w:val="00FB5A41"/>
    <w:rsid w:val="00FB6C03"/>
    <w:rsid w:val="00FD596C"/>
    <w:rsid w:val="00FE1778"/>
    <w:rsid w:val="00FE3186"/>
    <w:rsid w:val="00FF1A54"/>
    <w:rsid w:val="00FF2AF5"/>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endze@hinfon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ine.gov/dhhs/oms/sim/data-infrastructur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F112-E524-47FE-AF6B-1A13CB46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10</cp:revision>
  <cp:lastPrinted>2013-11-01T13:06:00Z</cp:lastPrinted>
  <dcterms:created xsi:type="dcterms:W3CDTF">2014-09-09T17:38:00Z</dcterms:created>
  <dcterms:modified xsi:type="dcterms:W3CDTF">2014-09-19T13:39:00Z</dcterms:modified>
</cp:coreProperties>
</file>